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D9" w:rsidRPr="00442A27" w:rsidRDefault="00B458D9" w:rsidP="00352145">
      <w:pPr>
        <w:jc w:val="center"/>
        <w:rPr>
          <w:b/>
          <w:sz w:val="24"/>
          <w:szCs w:val="24"/>
        </w:rPr>
      </w:pPr>
      <w:r w:rsidRPr="00442A27">
        <w:rPr>
          <w:rFonts w:ascii="Times New Roman" w:hAnsi="Times New Roman" w:cs="Times New Roman"/>
          <w:b/>
          <w:sz w:val="24"/>
          <w:szCs w:val="24"/>
        </w:rPr>
        <w:t xml:space="preserve">Giorgio Manganelli, </w:t>
      </w:r>
      <w:r w:rsidR="00352145" w:rsidRPr="00BA44AF">
        <w:rPr>
          <w:rFonts w:ascii="Times New Roman" w:hAnsi="Times New Roman" w:cs="Times New Roman"/>
          <w:b/>
          <w:i/>
          <w:sz w:val="24"/>
          <w:szCs w:val="24"/>
        </w:rPr>
        <w:t>Centuria</w:t>
      </w:r>
    </w:p>
    <w:p w:rsidR="008A65A2" w:rsidRDefault="00B458D9" w:rsidP="00B458D9">
      <w:pPr>
        <w:jc w:val="both"/>
        <w:rPr>
          <w:rFonts w:ascii="Times New Roman" w:hAnsi="Times New Roman" w:cs="Times New Roman"/>
          <w:sz w:val="24"/>
          <w:szCs w:val="24"/>
        </w:rPr>
      </w:pPr>
      <w:r w:rsidRPr="00B458D9">
        <w:rPr>
          <w:rFonts w:ascii="Times New Roman" w:hAnsi="Times New Roman" w:cs="Times New Roman"/>
          <w:b/>
          <w:iCs/>
          <w:sz w:val="24"/>
          <w:szCs w:val="24"/>
        </w:rPr>
        <w:t>Cinquantadue</w:t>
      </w:r>
      <w:r w:rsidRPr="00B458D9">
        <w:rPr>
          <w:rFonts w:ascii="Times New Roman" w:hAnsi="Times New Roman" w:cs="Times New Roman"/>
          <w:sz w:val="24"/>
          <w:szCs w:val="24"/>
        </w:rPr>
        <w:br/>
        <w:t xml:space="preserve">Il drago, ovviamente, è stato ucciso dal cavaliere. Solo un cavaliere può uccidere un drago - ad esempio, non un militare di carriera, né un campione sportivo. Ci sono cavalieri che si vantano di aver ucciso più draghi: mentono. Non è nel disegno del mondo consentire l'uccisione di più di un drago ad un cavaliere; e a molti anche questo è negato; taluno, anzi, viene dal drago abbattuto, prima che questi cada sotto i colpi di altro, predestinato cavaliere. Il drago giace trafitto, dissanguato e tuttavia esangue, in mezzo a bisce, rane, conchiglie; codesti animali non mostrano la parentela del drago, ma al contrario la sua estraneità. Infatti, il punto che non deve sfuggire è che il drago è eterogeneo rispetto al luogo della propria morte, rispetto agli animali, al cielo, e soprattutto rispetto al cavaliere. Dei draghi non si molto, ma in genere i cavalieri ignorano anche il poco che se ne conosce. Che esistano regioni in cui i draghi dimorano, regioni lontane e forse tecnicamente inaccessibili, molti credono, e pare verosimile. Da quelle regioni si allontanano; viaggiano sempre soli: nessuno ha mai saputo di una coppia di draghi, una famiglia, due draghi amici. Il drago si dirige verso il luogo della propria uccisione. Che si sappia, questo è il modo di morire consentito ai draghi. Il drago si dirige verso le mura della città, in cui tuttavia non penetra mai; non ha interesse per i villani, ma cerca cavalieri, giacché solo da uno di questi otterrà morte. Talora il drago si apparta in una grotta, se ne fa ricetto, accumula sassi sulla soglia. Il drago emette dalla bocca fuoco: che tiene luogo di favella. Egli ha verosimilmente molte cose da dire, ma la lunga solitudine l'ha reso disavvezzo, e l'intima fatica esce in lingue di fiamma. Colpisce, in tutta la vicenda del cavaliere e del drago, la assoluta </w:t>
      </w:r>
      <w:proofErr w:type="spellStart"/>
      <w:r w:rsidRPr="00B458D9">
        <w:rPr>
          <w:rFonts w:ascii="Times New Roman" w:hAnsi="Times New Roman" w:cs="Times New Roman"/>
          <w:sz w:val="24"/>
          <w:szCs w:val="24"/>
        </w:rPr>
        <w:t>inintelligenza</w:t>
      </w:r>
      <w:proofErr w:type="spellEnd"/>
      <w:r w:rsidRPr="00B458D9">
        <w:rPr>
          <w:rFonts w:ascii="Times New Roman" w:hAnsi="Times New Roman" w:cs="Times New Roman"/>
          <w:sz w:val="24"/>
          <w:szCs w:val="24"/>
        </w:rPr>
        <w:t xml:space="preserve"> del cavaliere nei confronti del drago. Non ne avverte le distanze, la solitudine, la grandezza immane e deforme, né decifra i segni del fuoco. Ignora le fatiche che il drago ha voluto affrontare per giungere puntuale ad un terribile appuntamento. Il cavaliere ignora di essere egli stesso giunto ad un appuntamento. Se, fermo sul suo bel cavallo, poggiasse la lancia al suolo, reggendola pianamente, senza ira e paura, il drago, vedendo delusa la sua brama di morte, forse inizierebbe il colloquio.</w:t>
      </w:r>
    </w:p>
    <w:p w:rsidR="00352145" w:rsidRDefault="00352145" w:rsidP="00B458D9">
      <w:pPr>
        <w:jc w:val="both"/>
        <w:rPr>
          <w:rFonts w:ascii="Times New Roman" w:hAnsi="Times New Roman" w:cs="Times New Roman"/>
          <w:sz w:val="24"/>
          <w:szCs w:val="24"/>
        </w:rPr>
      </w:pPr>
    </w:p>
    <w:p w:rsidR="00352145" w:rsidRPr="00442A27" w:rsidRDefault="00352145" w:rsidP="00352145">
      <w:pPr>
        <w:rPr>
          <w:b/>
          <w:sz w:val="24"/>
          <w:szCs w:val="24"/>
        </w:rPr>
      </w:pPr>
      <w:r w:rsidRPr="00352145">
        <w:rPr>
          <w:rFonts w:ascii="Times New Roman" w:hAnsi="Times New Roman" w:cs="Times New Roman"/>
          <w:b/>
          <w:iCs/>
          <w:sz w:val="24"/>
          <w:szCs w:val="24"/>
        </w:rPr>
        <w:t>G. Manganelli,</w:t>
      </w:r>
      <w:r>
        <w:rPr>
          <w:rFonts w:ascii="Times New Roman" w:hAnsi="Times New Roman" w:cs="Times New Roman"/>
          <w:b/>
          <w:i/>
          <w:iCs/>
          <w:sz w:val="24"/>
          <w:szCs w:val="24"/>
        </w:rPr>
        <w:t xml:space="preserve"> </w:t>
      </w:r>
      <w:r w:rsidRPr="00442A27">
        <w:rPr>
          <w:rFonts w:ascii="Times New Roman" w:hAnsi="Times New Roman" w:cs="Times New Roman"/>
          <w:b/>
          <w:i/>
          <w:iCs/>
          <w:sz w:val="24"/>
          <w:szCs w:val="24"/>
        </w:rPr>
        <w:t xml:space="preserve">Centuria, cento piccoli romanzi fiume, </w:t>
      </w:r>
      <w:r w:rsidRPr="00442A27">
        <w:rPr>
          <w:rFonts w:ascii="Times New Roman" w:hAnsi="Times New Roman" w:cs="Times New Roman"/>
          <w:b/>
          <w:sz w:val="24"/>
          <w:szCs w:val="24"/>
        </w:rPr>
        <w:t>Rizzoli, Milano 1979, pp. 63-64]</w:t>
      </w:r>
    </w:p>
    <w:p w:rsidR="00352145" w:rsidRPr="00B458D9" w:rsidRDefault="00352145" w:rsidP="00B458D9">
      <w:pPr>
        <w:jc w:val="both"/>
        <w:rPr>
          <w:rFonts w:ascii="Times New Roman" w:hAnsi="Times New Roman" w:cs="Times New Roman"/>
          <w:sz w:val="24"/>
          <w:szCs w:val="24"/>
        </w:rPr>
      </w:pPr>
    </w:p>
    <w:sectPr w:rsidR="00352145" w:rsidRPr="00B458D9" w:rsidSect="008A65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B458D9"/>
    <w:rsid w:val="00352145"/>
    <w:rsid w:val="008A65A2"/>
    <w:rsid w:val="00A7249B"/>
    <w:rsid w:val="00B458D9"/>
    <w:rsid w:val="00BA44AF"/>
    <w:rsid w:val="00D422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58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2107</Characters>
  <Application>Microsoft Office Word</Application>
  <DocSecurity>0</DocSecurity>
  <Lines>17</Lines>
  <Paragraphs>4</Paragraphs>
  <ScaleCrop>false</ScaleCrop>
  <Company>HP</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Indiveri</dc:creator>
  <cp:lastModifiedBy>Magda Indiveri</cp:lastModifiedBy>
  <cp:revision>3</cp:revision>
  <dcterms:created xsi:type="dcterms:W3CDTF">2022-05-11T19:37:00Z</dcterms:created>
  <dcterms:modified xsi:type="dcterms:W3CDTF">2022-05-27T08:43:00Z</dcterms:modified>
</cp:coreProperties>
</file>