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386F" w14:textId="160E7490" w:rsidR="00041DD2" w:rsidRDefault="00041DD2" w:rsidP="00041DD2">
      <w:pPr>
        <w:pStyle w:val="Testonormale"/>
        <w:spacing w:line="220" w:lineRule="exact"/>
        <w:ind w:left="284" w:right="74"/>
        <w:jc w:val="center"/>
        <w:rPr>
          <w:rFonts w:ascii="Times New Roman" w:eastAsia="MS Mincho" w:hAnsi="Times New Roman"/>
          <w:b/>
          <w:bCs/>
          <w:sz w:val="24"/>
          <w:szCs w:val="24"/>
          <w:lang w:val="it-IT"/>
        </w:rPr>
      </w:pPr>
      <w:r w:rsidRPr="00041DD2">
        <w:rPr>
          <w:rFonts w:ascii="Times New Roman" w:eastAsia="MS Mincho" w:hAnsi="Times New Roman"/>
          <w:b/>
          <w:bCs/>
          <w:sz w:val="24"/>
          <w:szCs w:val="24"/>
          <w:lang w:val="it-IT"/>
        </w:rPr>
        <w:t xml:space="preserve">G. Boccaccio, </w:t>
      </w:r>
      <w:r w:rsidRPr="00041DD2">
        <w:rPr>
          <w:rFonts w:ascii="Times New Roman" w:eastAsia="MS Mincho" w:hAnsi="Times New Roman"/>
          <w:b/>
          <w:bCs/>
          <w:i/>
          <w:iCs/>
          <w:sz w:val="24"/>
          <w:szCs w:val="24"/>
          <w:lang w:val="it-IT"/>
        </w:rPr>
        <w:t>Decameron</w:t>
      </w:r>
      <w:r w:rsidRPr="00041DD2">
        <w:rPr>
          <w:rFonts w:ascii="Times New Roman" w:eastAsia="MS Mincho" w:hAnsi="Times New Roman"/>
          <w:b/>
          <w:bCs/>
          <w:sz w:val="24"/>
          <w:szCs w:val="24"/>
          <w:lang w:val="it-IT"/>
        </w:rPr>
        <w:t xml:space="preserve">, </w:t>
      </w:r>
      <w:r w:rsidRPr="00041DD2">
        <w:rPr>
          <w:rFonts w:ascii="Times New Roman" w:eastAsia="MS Mincho" w:hAnsi="Times New Roman"/>
          <w:b/>
          <w:bCs/>
          <w:smallCaps/>
          <w:sz w:val="24"/>
          <w:szCs w:val="24"/>
          <w:lang w:val="it-IT"/>
        </w:rPr>
        <w:t>vi</w:t>
      </w:r>
      <w:r w:rsidRPr="00041DD2">
        <w:rPr>
          <w:rFonts w:ascii="Times New Roman" w:eastAsia="MS Mincho" w:hAnsi="Times New Roman"/>
          <w:b/>
          <w:bCs/>
          <w:sz w:val="24"/>
          <w:szCs w:val="24"/>
          <w:lang w:val="it-IT"/>
        </w:rPr>
        <w:t>, conclusione, 19-28</w:t>
      </w:r>
    </w:p>
    <w:p w14:paraId="439A6EB6" w14:textId="77777777" w:rsidR="00041DD2" w:rsidRPr="00041DD2" w:rsidRDefault="00041DD2" w:rsidP="00041DD2">
      <w:pPr>
        <w:pStyle w:val="Testonormale"/>
        <w:spacing w:line="220" w:lineRule="exact"/>
        <w:ind w:left="284" w:right="74"/>
        <w:jc w:val="center"/>
        <w:rPr>
          <w:rFonts w:ascii="Times New Roman" w:eastAsia="MS Mincho" w:hAnsi="Times New Roman"/>
          <w:b/>
          <w:bCs/>
          <w:sz w:val="24"/>
          <w:szCs w:val="24"/>
          <w:lang w:val="it-IT"/>
        </w:rPr>
      </w:pPr>
    </w:p>
    <w:p w14:paraId="1E35BD7F" w14:textId="77777777" w:rsidR="00041DD2" w:rsidRDefault="00041DD2" w:rsidP="00041DD2">
      <w:pPr>
        <w:pStyle w:val="Testonormale"/>
        <w:spacing w:line="220" w:lineRule="exact"/>
        <w:ind w:left="284" w:right="74"/>
        <w:jc w:val="both"/>
        <w:rPr>
          <w:rFonts w:ascii="Times New Roman" w:eastAsia="MS Mincho" w:hAnsi="Times New Roman"/>
          <w:sz w:val="18"/>
          <w:szCs w:val="18"/>
          <w:lang w:val="it-IT"/>
        </w:rPr>
      </w:pPr>
    </w:p>
    <w:p w14:paraId="601B8A53" w14:textId="08D2E8B3" w:rsidR="00041DD2" w:rsidRPr="00041DD2" w:rsidRDefault="00041DD2" w:rsidP="00041DD2">
      <w:pPr>
        <w:pStyle w:val="Testonormale"/>
        <w:spacing w:line="360" w:lineRule="auto"/>
        <w:ind w:left="284" w:right="74"/>
        <w:jc w:val="both"/>
        <w:rPr>
          <w:rFonts w:ascii="Times New Roman" w:eastAsia="MS Mincho" w:hAnsi="Times New Roman"/>
          <w:sz w:val="22"/>
          <w:szCs w:val="22"/>
          <w:lang w:val="it-IT"/>
        </w:rPr>
      </w:pPr>
      <w:r w:rsidRPr="00041DD2">
        <w:rPr>
          <w:rFonts w:ascii="Times New Roman" w:eastAsia="MS Mincho" w:hAnsi="Times New Roman"/>
          <w:sz w:val="22"/>
          <w:szCs w:val="22"/>
          <w:lang w:val="it-IT"/>
        </w:rPr>
        <w:t xml:space="preserve">Le donne risposono che erano apparecchiate; e chiamata una delle lor fanti, senza farne alcuna cosa sentire a’ giovani, si misero in via: né‚ guari piú d’un miglio furono andate, che alla Valle delle Donne pervennero. Dentro dalla quale per una via assai stretta, dall’una delle parti della qual è un chiarissimo fiumicello, entrarono, e viderla tanto bella e tanto dilettevole, e spezialmente in quel tempo che era il caldo grande, quanto piú si potesse divisare. E secondo che alcuna di lor poi mi ridisse, il piano, che nella valle era, cosí era ritondo come se a sesta fosse stato fatto, quantunque artificio della natura e non manual paresse: e era di giro poco piú che un mezzo miglio, intorniato di sei montagnette di non troppa altezza, e in su la sommità di ciascuna si vedeva un palagio quasi in forma fatto d’un bel castelletto. </w:t>
      </w:r>
    </w:p>
    <w:p w14:paraId="1B9689E4" w14:textId="77777777" w:rsidR="00041DD2" w:rsidRPr="00041DD2" w:rsidRDefault="00041DD2" w:rsidP="00041DD2">
      <w:pPr>
        <w:pStyle w:val="Testonormale"/>
        <w:spacing w:line="360" w:lineRule="auto"/>
        <w:ind w:left="284" w:right="74"/>
        <w:jc w:val="both"/>
        <w:rPr>
          <w:rFonts w:ascii="Times New Roman" w:eastAsia="MS Mincho" w:hAnsi="Times New Roman"/>
          <w:sz w:val="22"/>
          <w:szCs w:val="22"/>
          <w:lang w:val="it-IT"/>
        </w:rPr>
      </w:pPr>
      <w:r w:rsidRPr="00041DD2">
        <w:rPr>
          <w:rFonts w:ascii="Times New Roman" w:eastAsia="MS Mincho" w:hAnsi="Times New Roman"/>
          <w:sz w:val="22"/>
          <w:szCs w:val="22"/>
          <w:lang w:val="it-IT"/>
        </w:rPr>
        <w:t xml:space="preserve">Le piagge delle quali montagnette cosí digradando giuso verso il pian discendevano, come ne’ teatri veggiamo dalla lor sommità i gradi infino all’infimo venire successivamente ordinati, sempre ristrignendo il cerchio loro. E erano queste piagge, quante alla piaga del mezzogiorno ne riguardavano, tutte di vigne, d’ulivi, di mandorli, di ciriegi, di fichi e d’altre maniere assai d’albori fruttiferi piene senza spanna perdersene. Quelle le quali il carro di tramontana guardava, tutte eran boschetti di querciuoli, di frassini e d’altri arberi verdissimi e ritti quanto piú esser poteano. Il piano appresso, senza aver piú entrate che quella donde le donne venute v’erano, era pieno d’abeti, di cipressi, d’allori e d’alcun pini sí ben composti e sí bene ordinati, come se qualunque è di ciò il migliore artefice gli avesse piantati: e fra essi poco sole o niente, allora che egli era alto, entrava infino al suolo, il quale era tutto un prato d’erba minutissima e piena di fiori porporini e d’altri. </w:t>
      </w:r>
    </w:p>
    <w:p w14:paraId="7934AD57" w14:textId="5583E81A" w:rsidR="00041DD2" w:rsidRPr="00041DD2" w:rsidRDefault="00041DD2" w:rsidP="00041DD2">
      <w:pPr>
        <w:pStyle w:val="Testonormale"/>
        <w:spacing w:line="360" w:lineRule="auto"/>
        <w:ind w:left="284" w:right="74"/>
        <w:jc w:val="both"/>
        <w:rPr>
          <w:rFonts w:ascii="Times New Roman" w:eastAsia="MS Mincho" w:hAnsi="Times New Roman"/>
          <w:sz w:val="22"/>
          <w:szCs w:val="22"/>
          <w:lang w:val="it-IT"/>
        </w:rPr>
      </w:pPr>
      <w:r w:rsidRPr="00041DD2">
        <w:rPr>
          <w:rFonts w:ascii="Times New Roman" w:eastAsia="MS Mincho" w:hAnsi="Times New Roman"/>
          <w:sz w:val="22"/>
          <w:szCs w:val="22"/>
          <w:lang w:val="it-IT"/>
        </w:rPr>
        <w:t>E oltre a questo, quel che non meno di diletto che altro porgeva era un fiumicello il quale d’una delle valli, che due di quelle montagnette dividea, cadeva giú per balzi di pietra viva, e cadendo faceva un romore a udire assai dilettevole, e sprizzando pareva da lungi ariento vivo che d’alcuna cosa premuta minutamente sprizzasse; e come giú al piccol pian pervenia, cosí quivi in un bel canaletto raccolta infino al mezzo del piano velocissima discorreva, e ivi faceva un piccol laghetto, quale talvolta per modo di vivaio fanno ne’ lor giardini i cittadini che di ciò hanno destro. E era questo laghetto non piú profondo che sia una statura d’uomo infino al petto lunga; e senza avere in sé‚ mistura alcuna, chiarissimo il suo fondo mostrava esser d’una minutissima ghiaia, la quale tutta, chi altro non avesse avuto a fare, avrebbe volendo potuta annoverare; né‚ solamente nell’acqua vi si vedeva il fondo riguardando, ma tanto pesce in qua e in là andar discorrendo, che oltre al diletto era una maraviglia; né‚ da altra ripa era chiuso che dal suolo del prato, tanto dintorno a quel piú bello quanto piú dell'umido sentiva di quello. L’acqua la quale alla sua capacità soprabondava un altro canaletto ricevea, per lo qual fuori del valloncello uscendo, alle parti piú basse se ne correva.</w:t>
      </w:r>
    </w:p>
    <w:p w14:paraId="03234EC9" w14:textId="700E0186" w:rsidR="0043128E" w:rsidRDefault="00B4152B"/>
    <w:p w14:paraId="1FB35ED9" w14:textId="333821A5" w:rsidR="00666F79" w:rsidRPr="00E10C43" w:rsidRDefault="00666F79" w:rsidP="00666F79">
      <w:pPr>
        <w:ind w:left="284"/>
        <w:rPr>
          <w:rFonts w:ascii="Times New Roman" w:hAnsi="Times New Roman" w:cs="Times New Roman"/>
          <w:b/>
          <w:bCs/>
          <w:sz w:val="20"/>
          <w:szCs w:val="20"/>
        </w:rPr>
      </w:pPr>
      <w:r w:rsidRPr="00E10C43">
        <w:rPr>
          <w:rFonts w:ascii="Times New Roman" w:eastAsia="MS Mincho" w:hAnsi="Times New Roman" w:cs="Times New Roman"/>
          <w:b/>
          <w:bCs/>
          <w:sz w:val="20"/>
          <w:szCs w:val="20"/>
        </w:rPr>
        <w:t xml:space="preserve">Da: G. Boccaccio, </w:t>
      </w:r>
      <w:r w:rsidRPr="00E10C43">
        <w:rPr>
          <w:rFonts w:ascii="Times New Roman" w:eastAsia="MS Mincho" w:hAnsi="Times New Roman" w:cs="Times New Roman"/>
          <w:b/>
          <w:bCs/>
          <w:i/>
          <w:iCs/>
          <w:sz w:val="20"/>
          <w:szCs w:val="20"/>
        </w:rPr>
        <w:t>Decameron</w:t>
      </w:r>
      <w:r w:rsidRPr="00E10C43">
        <w:rPr>
          <w:rFonts w:ascii="Times New Roman" w:eastAsia="MS Mincho" w:hAnsi="Times New Roman" w:cs="Times New Roman"/>
          <w:b/>
          <w:bCs/>
          <w:sz w:val="20"/>
          <w:szCs w:val="20"/>
        </w:rPr>
        <w:t xml:space="preserve">, a cura di V. Branca, Torino, Einaudi, 1987 , pp. </w:t>
      </w:r>
      <w:r>
        <w:rPr>
          <w:rFonts w:ascii="Times New Roman" w:eastAsia="MS Mincho" w:hAnsi="Times New Roman" w:cs="Times New Roman"/>
          <w:b/>
          <w:bCs/>
          <w:sz w:val="20"/>
          <w:szCs w:val="20"/>
        </w:rPr>
        <w:t>778-780</w:t>
      </w:r>
    </w:p>
    <w:p w14:paraId="645D5495" w14:textId="2A8732C4" w:rsidR="00E10EDA" w:rsidRDefault="00E10EDA"/>
    <w:sectPr w:rsidR="00E10EDA" w:rsidSect="00373E2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7506" w14:textId="77777777" w:rsidR="00B4152B" w:rsidRDefault="00B4152B" w:rsidP="00041DD2">
      <w:pPr>
        <w:spacing w:after="0" w:line="240" w:lineRule="auto"/>
      </w:pPr>
      <w:r>
        <w:separator/>
      </w:r>
    </w:p>
  </w:endnote>
  <w:endnote w:type="continuationSeparator" w:id="0">
    <w:p w14:paraId="6AFE867C" w14:textId="77777777" w:rsidR="00B4152B" w:rsidRDefault="00B4152B" w:rsidP="0004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FD8F" w14:textId="77777777" w:rsidR="00B4152B" w:rsidRDefault="00B4152B" w:rsidP="00041DD2">
      <w:pPr>
        <w:spacing w:after="0" w:line="240" w:lineRule="auto"/>
      </w:pPr>
      <w:r>
        <w:separator/>
      </w:r>
    </w:p>
  </w:footnote>
  <w:footnote w:type="continuationSeparator" w:id="0">
    <w:p w14:paraId="6C76238F" w14:textId="77777777" w:rsidR="00B4152B" w:rsidRDefault="00B4152B" w:rsidP="00041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BD"/>
    <w:rsid w:val="00041DD2"/>
    <w:rsid w:val="00051132"/>
    <w:rsid w:val="00373E24"/>
    <w:rsid w:val="00666F79"/>
    <w:rsid w:val="00910FBD"/>
    <w:rsid w:val="00B11FF3"/>
    <w:rsid w:val="00B4152B"/>
    <w:rsid w:val="00C15AF6"/>
    <w:rsid w:val="00E10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F9BA"/>
  <w15:chartTrackingRefBased/>
  <w15:docId w15:val="{205F1889-23C3-46A9-B9C4-06F2F047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041DD2"/>
    <w:pPr>
      <w:spacing w:after="0" w:line="240" w:lineRule="auto"/>
    </w:pPr>
    <w:rPr>
      <w:rFonts w:ascii="Times New Roman" w:eastAsia="Times New Roman"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041DD2"/>
    <w:rPr>
      <w:rFonts w:ascii="Times New Roman" w:eastAsia="Times New Roman" w:hAnsi="Times New Roman" w:cs="Times New Roman"/>
      <w:sz w:val="20"/>
      <w:szCs w:val="20"/>
      <w:lang w:val="de-DE" w:eastAsia="de-DE"/>
    </w:rPr>
  </w:style>
  <w:style w:type="character" w:styleId="Rimandonotaapidipagina">
    <w:name w:val="footnote reference"/>
    <w:semiHidden/>
    <w:rsid w:val="00041DD2"/>
    <w:rPr>
      <w:vertAlign w:val="superscript"/>
    </w:rPr>
  </w:style>
  <w:style w:type="paragraph" w:styleId="Testonormale">
    <w:name w:val="Plain Text"/>
    <w:basedOn w:val="Normale"/>
    <w:link w:val="TestonormaleCarattere"/>
    <w:semiHidden/>
    <w:rsid w:val="00041DD2"/>
    <w:pPr>
      <w:spacing w:after="0" w:line="240" w:lineRule="auto"/>
    </w:pPr>
    <w:rPr>
      <w:rFonts w:ascii="Courier New" w:eastAsia="Times New Roman" w:hAnsi="Courier New" w:cs="Times New Roman"/>
      <w:sz w:val="20"/>
      <w:szCs w:val="20"/>
      <w:lang w:val="de-DE" w:eastAsia="de-DE"/>
    </w:rPr>
  </w:style>
  <w:style w:type="character" w:customStyle="1" w:styleId="TestonormaleCarattere">
    <w:name w:val="Testo normale Carattere"/>
    <w:basedOn w:val="Carpredefinitoparagrafo"/>
    <w:link w:val="Testonormale"/>
    <w:semiHidden/>
    <w:rsid w:val="00041DD2"/>
    <w:rPr>
      <w:rFonts w:ascii="Courier New" w:eastAsia="Times New Roman" w:hAnsi="Courier New"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5</cp:revision>
  <dcterms:created xsi:type="dcterms:W3CDTF">2021-09-26T10:54:00Z</dcterms:created>
  <dcterms:modified xsi:type="dcterms:W3CDTF">2021-09-26T10:57:00Z</dcterms:modified>
</cp:coreProperties>
</file>